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MAQUINARIA PESADA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 la maquinaria pesada pesado usado: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y matrícula”)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  la maquinaria pesada,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la maquinaria pesada,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la maquinaria pesada objeto de la presente CompraVenta se encuentra revisado reglamentariamente por la ITV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 la maquinaria pesada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la maquinaria pesada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la citada maquinaria pesada pesado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la maquinaria pesada.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 la maquinaria pesada y exonera de manera expresa al vendedor de cualquier responsabilidad por vicios o defectos ocultos o posibles averías que el bien manifieste en un futuro, según se determina en el artículo 1.485 del Código Civil, salvo aquellos ocultos que tengan su origen en dolo o mala fe del vendedor.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1.490 del Código Civil.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de la maquinaria pesada,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