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MOTO USADA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 la moto usada: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y matrícula”)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 la moto, en su conjunto y en el de sus elementos mecánicos y componentes fundamentales, de su antigüedad y kilometraje.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la moto, y realizado si procedieran, las pruebas que libremente ha estimado pertinentes.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la moto objeto de la presente Compra-Venta se encuentra revisado reglamentariamente por la ITV en fecha..................., si procediera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la moto de acuerdo con las siguientes: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la moto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la citada moto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la moto.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 la moto y exonera de manera expresa al vendedor de cualquier responsabilidad por vicios o defectos ocultos o posibles averías que el bien manifieste en un futuro, según se determina en el artículo 1.485 del Código Civil, salvo aquellos ocultos que tengan su origen en dolo o mala fe del vendedor.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El vendedor responderá frente al comprador tanto de la posesión legal y pacífica de la moto como de los vicios o defectos ocultos que tuviere, durante un plazo de seis meses, de conformidad con lo establecido en el artículo 1.490 del Código Civil.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la moto,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del vehículo, siempre y cuando hubieran sido conocidos y consentidos por el comprador.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