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ENTRE PARTICULARES DE UN  MÓVIL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</w:t>
      </w:r>
      <w:r w:rsidDel="00000000" w:rsidR="00000000" w:rsidRPr="00000000">
        <w:rPr>
          <w:b w:val="1"/>
          <w:rtl w:val="0"/>
        </w:rPr>
        <w:t xml:space="preserve">LA PARTE VENDEDORA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</w:t>
      </w:r>
      <w:r w:rsidDel="00000000" w:rsidR="00000000" w:rsidRPr="00000000">
        <w:rPr>
          <w:b w:val="1"/>
          <w:rtl w:val="0"/>
        </w:rPr>
        <w:t xml:space="preserve">LA PARTE COMPRADORA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I.- Que ambas partes han convenido formalizar contrato de compraventa de: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móvil a comprar: Marca comercial, nombre del modelo, número IMEI, número de serie, año de compra y cualquier otro dato descriptivo del objeto de la compraventa”)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 </w:t>
      </w:r>
      <w:r w:rsidDel="00000000" w:rsidR="00000000" w:rsidRPr="00000000">
        <w:rPr>
          <w:color w:val="4a86e8"/>
          <w:rtl w:val="0"/>
        </w:rPr>
        <w:t xml:space="preserve">(Poner nombre concreto del móvil)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</w:t>
      </w:r>
      <w:r w:rsidDel="00000000" w:rsidR="00000000" w:rsidRPr="00000000">
        <w:rPr>
          <w:color w:val="4a86e8"/>
          <w:rtl w:val="0"/>
        </w:rPr>
        <w:t xml:space="preserve">(Poner nombre concreto del móvil)</w:t>
      </w:r>
      <w:r w:rsidDel="00000000" w:rsidR="00000000" w:rsidRPr="00000000">
        <w:rPr>
          <w:rtl w:val="0"/>
        </w:rPr>
        <w:t xml:space="preserve">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móvil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posesión del móvil. El comprador se hace cargo de cuantas responsabilidades puedan contraerse por su propiedad, tenencia y uso a partir del momento de la entrega. Igualmente por este acto se realiza el pago al vendedor de la cantidad estipulada, sirviendo este documento como eficaz carta de pago.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El comprador declara conocer el estado actual del móvil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