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COMPRAVENTA VIVIENDA (INMUEBLE) ENTRE PARTICULARES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LA PARTE VENDEDORA: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LA PARTE COMPRADORA: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  <w:t xml:space="preserve">I.-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Que el vendedor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es propietario de la siguiente vivienda.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0" w:line="360" w:lineRule="auto"/>
        <w:rPr>
          <w:color w:val="4a86e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Vivienda de la calle </w:t>
      </w:r>
      <w:r w:rsidDel="00000000" w:rsidR="00000000" w:rsidRPr="00000000">
        <w:rPr>
          <w:color w:val="4a86e8"/>
          <w:rtl w:val="0"/>
        </w:rPr>
        <w:t xml:space="preserve">(datos)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número </w:t>
      </w:r>
      <w:r w:rsidDel="00000000" w:rsidR="00000000" w:rsidRPr="00000000">
        <w:rPr>
          <w:color w:val="4a86e8"/>
          <w:rtl w:val="0"/>
        </w:rPr>
        <w:t xml:space="preserve">(datos)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planta </w:t>
      </w:r>
      <w:r w:rsidDel="00000000" w:rsidR="00000000" w:rsidRPr="00000000">
        <w:rPr>
          <w:color w:val="4a86e8"/>
          <w:rtl w:val="0"/>
        </w:rPr>
        <w:t xml:space="preserve">(datos)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ubicada en la ciudad de </w:t>
      </w:r>
      <w:r w:rsidDel="00000000" w:rsidR="00000000" w:rsidRPr="00000000">
        <w:rPr>
          <w:color w:val="4a86e8"/>
          <w:rtl w:val="0"/>
        </w:rPr>
        <w:t xml:space="preserve">(datos).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0"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La superficie útil de la vivienda es de </w:t>
      </w:r>
      <w:r w:rsidDel="00000000" w:rsidR="00000000" w:rsidRPr="00000000">
        <w:rPr>
          <w:color w:val="4a86e8"/>
          <w:rtl w:val="0"/>
        </w:rPr>
        <w:t xml:space="preserve">(datos)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m2, superficie construida y que se distribuye en </w:t>
      </w:r>
      <w:r w:rsidDel="00000000" w:rsidR="00000000" w:rsidRPr="00000000">
        <w:rPr>
          <w:color w:val="4a86e8"/>
          <w:rtl w:val="0"/>
        </w:rPr>
        <w:t xml:space="preserve">(describir zonas y metros)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0"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La vivienda descrita tiene asignada una cuota del </w:t>
      </w:r>
      <w:r w:rsidDel="00000000" w:rsidR="00000000" w:rsidRPr="00000000">
        <w:rPr>
          <w:color w:val="4a86e8"/>
          <w:rtl w:val="0"/>
        </w:rPr>
        <w:t xml:space="preserve">(datos)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% de participación en los elementos comunes, cuyo porcentaje es el que sirve de módulo de reparto de beneficios y cargas de la comunidad de propietarios de la que forma parte, y a los demás efectos que determina la Ley de Propiedad Horizontal </w:t>
      </w:r>
      <w:r w:rsidDel="00000000" w:rsidR="00000000" w:rsidRPr="00000000">
        <w:rPr>
          <w:color w:val="4a86e8"/>
          <w:rtl w:val="0"/>
        </w:rPr>
        <w:t xml:space="preserve">(si es un piso)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40"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finca descrita fue adquirida por los vendedores a </w:t>
      </w:r>
      <w:r w:rsidDel="00000000" w:rsidR="00000000" w:rsidRPr="00000000">
        <w:rPr>
          <w:color w:val="4a86e8"/>
          <w:rtl w:val="0"/>
        </w:rPr>
        <w:t xml:space="preserve">(datos)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autorizada por el Notario D/Dña </w:t>
      </w:r>
      <w:r w:rsidDel="00000000" w:rsidR="00000000" w:rsidRPr="00000000">
        <w:rPr>
          <w:color w:val="4a86e8"/>
          <w:rtl w:val="0"/>
        </w:rPr>
        <w:t xml:space="preserve">(datos)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número de protocolo </w:t>
      </w:r>
      <w:r w:rsidDel="00000000" w:rsidR="00000000" w:rsidRPr="00000000">
        <w:rPr>
          <w:color w:val="4a86e8"/>
          <w:rtl w:val="0"/>
        </w:rPr>
        <w:t xml:space="preserve">(datos)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en fecha de </w:t>
      </w:r>
      <w:r w:rsidDel="00000000" w:rsidR="00000000" w:rsidRPr="00000000">
        <w:rPr>
          <w:color w:val="4a86e8"/>
          <w:rtl w:val="0"/>
        </w:rPr>
        <w:t xml:space="preserve">(datos)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y se encuentra inscrita en el Registro de la Propiedad de  </w:t>
      </w:r>
      <w:r w:rsidDel="00000000" w:rsidR="00000000" w:rsidRPr="00000000">
        <w:rPr>
          <w:color w:val="4a86e8"/>
          <w:rtl w:val="0"/>
        </w:rPr>
        <w:t xml:space="preserve">(datos)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número  </w:t>
      </w:r>
      <w:r w:rsidDel="00000000" w:rsidR="00000000" w:rsidRPr="00000000">
        <w:rPr>
          <w:color w:val="4a86e8"/>
          <w:rtl w:val="0"/>
        </w:rPr>
        <w:t xml:space="preserve">(datos)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al Tomo </w:t>
      </w:r>
      <w:r w:rsidDel="00000000" w:rsidR="00000000" w:rsidRPr="00000000">
        <w:rPr>
          <w:color w:val="4a86e8"/>
          <w:rtl w:val="0"/>
        </w:rPr>
        <w:t xml:space="preserve">(datos)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libro </w:t>
      </w:r>
      <w:r w:rsidDel="00000000" w:rsidR="00000000" w:rsidRPr="00000000">
        <w:rPr>
          <w:color w:val="4a86e8"/>
          <w:rtl w:val="0"/>
        </w:rPr>
        <w:t xml:space="preserve">(datos)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folio </w:t>
      </w:r>
      <w:r w:rsidDel="00000000" w:rsidR="00000000" w:rsidRPr="00000000">
        <w:rPr>
          <w:color w:val="4a86e8"/>
          <w:rtl w:val="0"/>
        </w:rPr>
        <w:t xml:space="preserve">(datos)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finca </w:t>
      </w:r>
      <w:r w:rsidDel="00000000" w:rsidR="00000000" w:rsidRPr="00000000">
        <w:rPr>
          <w:color w:val="4a86e8"/>
          <w:rtl w:val="0"/>
        </w:rPr>
        <w:t xml:space="preserve">(datos).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color w:val="4a86e8"/>
          <w:rtl w:val="0"/>
        </w:rPr>
        <w:t xml:space="preserve">(presentar certificado de cargas del registro de la propiedad)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finca descrita no está afecta a más de cargas ni gravámenes, según se desprende de la certificación expedida por el Registro de la Propiedad número </w:t>
      </w:r>
      <w:r w:rsidDel="00000000" w:rsidR="00000000" w:rsidRPr="00000000">
        <w:rPr>
          <w:color w:val="4a86e8"/>
          <w:rtl w:val="0"/>
        </w:rPr>
        <w:t xml:space="preserve">(datos)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de  </w:t>
      </w:r>
      <w:r w:rsidDel="00000000" w:rsidR="00000000" w:rsidRPr="00000000">
        <w:rPr>
          <w:color w:val="4a86e8"/>
          <w:rtl w:val="0"/>
        </w:rPr>
        <w:t xml:space="preserve">(datos)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y está al corriente en el pago de contribuciones, impuestos y arbitrios y gastos de propiedad horizontal según se desprende de la certificación expedida al efecto por el Administrador de la Comunidad de Propietarios.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compraventa de la propiedad, de acuerdo con las siguientes: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vendedor vende al comprador el bien inmueble de su propiedad anteriormente especificado por la cantidad de ............ euros (.......,... €), sin incluir los impuestos correspondientes, que serán a cargo del comprador.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El vendedor declara que no pesa sobre el citado bien ninguna carga o gravamen ni impuesto,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Por este acto se hace entrega al comprador de la posesión de la vivienda. El comprador se hace cargo de cuantas responsabilidades puedan contraerse por su propiedad, tenencia y uso a partir del momento de la entrega. Igualmente por este acto se realiza el pago al vendedor de la cantidad estipulada, sirviendo este documento como eficaz carta de pago.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.-. El comprador declara conocer el estado actual de la vivienda y exonera de manera expresa al vendedor de cualquier responsabilidad por vicios o defectos ocultos o posibles averías que el bien manifieste en un futuro, según se determina en el artículo 1.485 del Código Civil, salvo aquellos ocultos que tengan su origen en dolo o mala fe del vendedor.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El vendedor responderá frente al comprador tanto de la posesión legal y pacífica de la cosa vendida como de los vicios o defectos ocultos que tuviere, durante un plazo de seis meses, de conformidad con lo establecido en el artículo 1.490 del Código Civil.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Y para que así conste, firman el presente contrato de compraventa, por triplicado, en la fecha y lugar arriba indicados.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  <w:t xml:space="preserve">Firma de EL VENDEDOR</w:t>
        <w:tab/>
        <w:tab/>
        <w:tab/>
        <w:t xml:space="preserve">Firma de EL COMPRADOR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